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spacing w:after="120" w:before="120" w:lineRule="auto"/>
        <w:contextualSpacing w:val="0"/>
        <w:jc w:val="center"/>
        <w:rPr>
          <w:rFonts w:ascii="Sakkal Majalla" w:cs="Sakkal Majalla" w:eastAsia="Sakkal Majalla" w:hAnsi="Sakkal Majalla"/>
          <w:sz w:val="36"/>
          <w:szCs w:val="36"/>
          <w:u w:val="single"/>
        </w:rPr>
      </w:pPr>
      <w:r w:rsidDel="00000000" w:rsidR="00000000" w:rsidRPr="00000000">
        <w:rPr>
          <w:rFonts w:ascii="Sakkal Majalla" w:cs="Sakkal Majalla" w:eastAsia="Sakkal Majalla" w:hAnsi="Sakkal Majalla"/>
          <w:color w:val="000000"/>
          <w:sz w:val="36"/>
          <w:szCs w:val="36"/>
          <w:highlight w:val="lightGray"/>
          <w:u w:val="single"/>
          <w:rtl w:val="1"/>
        </w:rPr>
        <w:t xml:space="preserve">مذكرات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6"/>
          <w:szCs w:val="36"/>
          <w:highlight w:val="lightGray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6"/>
          <w:szCs w:val="36"/>
          <w:highlight w:val="lightGray"/>
          <w:u w:val="single"/>
          <w:rtl w:val="1"/>
        </w:rPr>
        <w:t xml:space="preserve">التفاهم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6"/>
          <w:szCs w:val="36"/>
          <w:highlight w:val="lightGray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6"/>
          <w:szCs w:val="36"/>
          <w:highlight w:val="lightGray"/>
          <w:u w:val="single"/>
          <w:rtl w:val="1"/>
        </w:rPr>
        <w:t xml:space="preserve">والشراكات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6"/>
          <w:szCs w:val="36"/>
          <w:highlight w:val="lightGray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6"/>
          <w:szCs w:val="36"/>
          <w:highlight w:val="lightGray"/>
          <w:u w:val="single"/>
          <w:rtl w:val="1"/>
        </w:rPr>
        <w:t xml:space="preserve">والمبادرات</w:t>
      </w:r>
      <w:r w:rsidDel="00000000" w:rsidR="00000000" w:rsidRPr="00000000">
        <w:rPr>
          <w:rFonts w:ascii="Sakkal Majalla" w:cs="Sakkal Majalla" w:eastAsia="Sakkal Majalla" w:hAnsi="Sakkal Majalla"/>
          <w:sz w:val="36"/>
          <w:szCs w:val="36"/>
          <w:highlight w:val="lightGray"/>
          <w:u w:val="singl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6"/>
          <w:szCs w:val="36"/>
          <w:highlight w:val="lightGray"/>
          <w:u w:val="single"/>
          <w:rtl w:val="1"/>
        </w:rPr>
        <w:t xml:space="preserve">والمشروعات</w:t>
      </w:r>
      <w:r w:rsidDel="00000000" w:rsidR="00000000" w:rsidRPr="00000000">
        <w:rPr>
          <w:rFonts w:ascii="Sakkal Majalla" w:cs="Sakkal Majalla" w:eastAsia="Sakkal Majalla" w:hAnsi="Sakkal Majalla"/>
          <w:sz w:val="36"/>
          <w:szCs w:val="36"/>
          <w:highlight w:val="lightGray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6"/>
          <w:szCs w:val="36"/>
          <w:highlight w:val="lightGray"/>
          <w:u w:val="singl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6"/>
          <w:szCs w:val="36"/>
          <w:highlight w:val="lightGray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6"/>
          <w:szCs w:val="36"/>
          <w:highlight w:val="lightGray"/>
          <w:u w:val="single"/>
          <w:rtl w:val="1"/>
        </w:rPr>
        <w:t xml:space="preserve">الإدارة</w:t>
      </w:r>
      <w:r w:rsidDel="00000000" w:rsidR="00000000" w:rsidRPr="00000000">
        <w:rPr>
          <w:rFonts w:ascii="Sakkal Majalla" w:cs="Sakkal Majalla" w:eastAsia="Sakkal Majalla" w:hAnsi="Sakkal Majalla"/>
          <w:sz w:val="36"/>
          <w:szCs w:val="36"/>
          <w:highlight w:val="lightGray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6"/>
          <w:szCs w:val="36"/>
          <w:highlight w:val="lightGray"/>
          <w:u w:val="single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sz w:val="36"/>
          <w:szCs w:val="36"/>
          <w:highlight w:val="lightGray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6"/>
          <w:szCs w:val="36"/>
          <w:highlight w:val="lightGray"/>
          <w:u w:val="single"/>
          <w:rtl w:val="1"/>
        </w:rPr>
        <w:t xml:space="preserve">للتربية</w:t>
      </w:r>
      <w:r w:rsidDel="00000000" w:rsidR="00000000" w:rsidRPr="00000000">
        <w:rPr>
          <w:rFonts w:ascii="Sakkal Majalla" w:cs="Sakkal Majalla" w:eastAsia="Sakkal Majalla" w:hAnsi="Sakkal Majalla"/>
          <w:sz w:val="36"/>
          <w:szCs w:val="36"/>
          <w:highlight w:val="lightGray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6"/>
          <w:szCs w:val="36"/>
          <w:highlight w:val="lightGray"/>
          <w:u w:val="single"/>
          <w:rtl w:val="1"/>
        </w:rPr>
        <w:t xml:space="preserve">الخاصة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591.000000000002" w:type="dxa"/>
        <w:jc w:val="left"/>
        <w:tblInd w:w="0.0" w:type="dxa"/>
        <w:tblBorders>
          <w:top w:color="ffd965" w:space="0" w:sz="4" w:val="single"/>
          <w:left w:color="ffd965" w:space="0" w:sz="4" w:val="single"/>
          <w:bottom w:color="ffd965" w:space="0" w:sz="4" w:val="single"/>
          <w:right w:color="ffd965" w:space="0" w:sz="4" w:val="single"/>
          <w:insideH w:color="ffd965" w:space="0" w:sz="4" w:val="single"/>
          <w:insideV w:color="ffd965" w:space="0" w:sz="4" w:val="single"/>
        </w:tblBorders>
        <w:tblLayout w:type="fixed"/>
        <w:tblLook w:val="04A0"/>
      </w:tblPr>
      <w:tblGrid>
        <w:gridCol w:w="669"/>
        <w:gridCol w:w="709"/>
        <w:gridCol w:w="1864"/>
        <w:gridCol w:w="1013"/>
        <w:gridCol w:w="1681"/>
        <w:gridCol w:w="5823"/>
        <w:gridCol w:w="2832"/>
        <w:tblGridChange w:id="0">
          <w:tblGrid>
            <w:gridCol w:w="669"/>
            <w:gridCol w:w="709"/>
            <w:gridCol w:w="1864"/>
            <w:gridCol w:w="1013"/>
            <w:gridCol w:w="1681"/>
            <w:gridCol w:w="5823"/>
            <w:gridCol w:w="2832"/>
          </w:tblGrid>
        </w:tblGridChange>
      </w:tblGrid>
      <w:tr>
        <w:trPr>
          <w:trHeight w:val="120" w:hRule="atLeast"/>
        </w:trPr>
        <w:tc>
          <w:tcPr/>
          <w:p w:rsidR="00000000" w:rsidDel="00000000" w:rsidP="00000000" w:rsidRDefault="00000000" w:rsidRPr="00000000" w14:paraId="00000001">
            <w:pPr>
              <w:bidi w:val="1"/>
              <w:spacing w:after="100" w:before="100" w:lineRule="auto"/>
              <w:contextualSpacing w:val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02">
            <w:pPr>
              <w:bidi w:val="1"/>
              <w:spacing w:after="100" w:before="100" w:lineRule="auto"/>
              <w:contextualSpacing w:val="0"/>
              <w:jc w:val="center"/>
              <w:rPr>
                <w:rFonts w:ascii="Sakkal Majalla" w:cs="Sakkal Majalla" w:eastAsia="Sakkal Majalla" w:hAnsi="Sakkal Majalla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6"/>
                <w:szCs w:val="36"/>
                <w:rtl w:val="1"/>
              </w:rPr>
              <w:t xml:space="preserve">مذكرات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6"/>
                <w:szCs w:val="36"/>
                <w:rtl w:val="1"/>
              </w:rPr>
              <w:t xml:space="preserve">التفاهم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6"/>
                <w:szCs w:val="36"/>
                <w:rtl w:val="1"/>
              </w:rPr>
              <w:t xml:space="preserve">والشراكات</w:t>
            </w:r>
          </w:p>
        </w:tc>
      </w:tr>
      <w:tr>
        <w:trPr>
          <w:trHeight w:val="120" w:hRule="atLeast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نوعها</w:t>
            </w:r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عنوانها</w:t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الطرف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الأول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الطرف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الثاني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spacing w:after="100" w:before="100" w:lineRule="auto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موضوعها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spacing w:after="100" w:before="100" w:lineRule="auto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trHeight w:val="120" w:hRule="atLeast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مذكرة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تفاهم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مذكرة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تفاهم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وزارة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والجمعية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لاضطراب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فرط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الحركة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وتشتت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الانتباه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إشراق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وزارة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الجمعية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لاضطراب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فرط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الحركة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وتشتت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الانتباه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spacing w:after="100" w:before="100" w:lineRule="auto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المجالات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التوعوية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والإرشادية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والاستشارية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المجالات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البحثية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التشخيص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spacing w:after="100" w:before="100" w:lineRule="auto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٢٨/٢/١٤٤٢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هجري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لمدة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ثلاث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سنوات</w:t>
            </w:r>
          </w:p>
        </w:tc>
      </w:tr>
      <w:tr>
        <w:trPr>
          <w:trHeight w:val="120" w:hRule="atLeast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مذكرة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تفاهم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التعاون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الوزارة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والجمعية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الخيرية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لصعوبات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مجال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صعوبات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وزارة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وكالة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الجمعية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الخيرية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لصعوبات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spacing w:after="100" w:before="100" w:lineRule="auto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١-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لمعلمي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صعوبات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.٢-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الاستشارات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التربوية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والاسرية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مجال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صعوبات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٣-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اجراء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التشخيص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ترد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الطرف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الاول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  ٤-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المطبوعات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التوعوية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والمواد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تستهدف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الميدان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التربوي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٤-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اقامة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الحملات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التوعوية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والمناسبات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العالمية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صعوبات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٥-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دعم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الموهوبين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ذوي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صعوبات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بتبني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قدراتهم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واشراكهم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والفعاليات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المختلفة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spacing w:after="100" w:before="100" w:lineRule="auto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ثلاث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سنوات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تبدا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١٤٤٣/٣/٢٨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الموافق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2021/11/3</w:t>
            </w:r>
          </w:p>
        </w:tc>
      </w:tr>
      <w:tr>
        <w:trPr>
          <w:trHeight w:val="120" w:hRule="atLeast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مذكرة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تفاهم</w:t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مذكرة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تفاهم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وزارة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ومؤسسة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سعي</w:t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وزارة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مؤسسة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سعي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spacing w:after="100" w:before="100" w:lineRule="auto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التعاون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تأهيل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وتوظيف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الأشخاص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ذوي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الاعاقة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. 2-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التعاون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خلق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الملتقيات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بذوي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الإعاقة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. 3-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التعاون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نشر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قصص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نجاح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ذوي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الاعاقة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طريق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القنوات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وحسابات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للطرفين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. 4-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تزويد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الراغبين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برابط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منصة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سعي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قبل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وزارة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spacing w:after="100" w:before="100" w:lineRule="auto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3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سنوات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7 / 10 / 1443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7 / 10 / 1444</w:t>
            </w:r>
          </w:p>
        </w:tc>
      </w:tr>
      <w:tr>
        <w:trPr>
          <w:trHeight w:val="120" w:hRule="atLeast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مذكرة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تفاهم</w:t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مذكرة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تفاهم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وزارة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وجمعية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سند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لدعم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الأطفال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المرضى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بالسرطان</w:t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وزارة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جمعية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سند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لدعم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الأطفال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المرضى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بالسرطان</w:t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spacing w:after="100" w:before="100" w:lineRule="auto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للأطفال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المرضى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بالسرطان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بالمستشفيات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ومراكز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الأورام</w:t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spacing w:after="100" w:before="100" w:lineRule="auto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٢٠١٧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ومستمره</w:t>
            </w:r>
          </w:p>
        </w:tc>
      </w:tr>
      <w:tr>
        <w:trPr>
          <w:trHeight w:val="120" w:hRule="atLeast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مذكرة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تفاهم</w:t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مذكرة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تفاهم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وزارة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ووزارة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الصحة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لاضطرابات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النمو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والسلوك</w:t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وزارة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وزارة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الصحة</w:t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spacing w:after="100" w:before="100" w:lineRule="auto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تشخيص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ذوي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اضطراب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النمو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. 2-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الجلسات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التشخيصية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والعلاجية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ذوي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اضطراب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النمو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مراكز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النمو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. 3-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التوعوية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والندوات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المحلية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والمؤتمرات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الاقليمية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والدولية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ذات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العلاقة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.4-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تدريب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وتطوير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الكوادر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البشرية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المتخصصة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وفق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أحدث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التوجهات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العالمية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. 5-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توفير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قاعدة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بيانات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ذوي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اضطرابات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النمو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والسلوك</w:t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spacing w:after="100" w:before="100" w:lineRule="auto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3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سنوات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7 / 10 / 1443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7 / 10 / 1444</w:t>
            </w:r>
          </w:p>
        </w:tc>
      </w:tr>
      <w:tr>
        <w:trPr>
          <w:trHeight w:val="120" w:hRule="atLeast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مذكرة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تفاهم</w:t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وزارة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وجامعة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الأميرة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نورة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بنت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عبد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الرحمن</w:t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وزارة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الاميرة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نورة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بنت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عبدالرحمن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spacing w:after="100" w:before="100" w:lineRule="auto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تهدف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المذكرة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طالبات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الثانوية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ذوات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الإعاقة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للمرحلة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الجامعية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وتعريفهن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بإجراءات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القبول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وفق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المعايير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المتبعة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الجامعات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spacing w:after="100" w:before="100" w:lineRule="auto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14/10/2021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لمدة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ثلاث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سنوات</w:t>
            </w:r>
          </w:p>
        </w:tc>
      </w:tr>
    </w:tbl>
    <w:p w:rsidR="00000000" w:rsidDel="00000000" w:rsidP="00000000" w:rsidRDefault="00000000" w:rsidRPr="00000000" w14:paraId="00000039">
      <w:pPr>
        <w:bidi w:val="1"/>
        <w:spacing w:after="120"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120"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120"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120"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91.0" w:type="dxa"/>
        <w:jc w:val="left"/>
        <w:tblInd w:w="0.0" w:type="dxa"/>
        <w:tblBorders>
          <w:top w:color="ffd965" w:space="0" w:sz="4" w:val="single"/>
          <w:left w:color="ffd965" w:space="0" w:sz="4" w:val="single"/>
          <w:bottom w:color="ffd965" w:space="0" w:sz="4" w:val="single"/>
          <w:right w:color="ffd965" w:space="0" w:sz="4" w:val="single"/>
          <w:insideH w:color="ffd965" w:space="0" w:sz="4" w:val="single"/>
          <w:insideV w:color="ffd965" w:space="0" w:sz="4" w:val="single"/>
        </w:tblBorders>
        <w:tblLayout w:type="fixed"/>
        <w:tblLook w:val="04A0"/>
      </w:tblPr>
      <w:tblGrid>
        <w:gridCol w:w="1136"/>
        <w:gridCol w:w="4962"/>
        <w:gridCol w:w="2551"/>
        <w:gridCol w:w="2552"/>
        <w:gridCol w:w="3390"/>
        <w:tblGridChange w:id="0">
          <w:tblGrid>
            <w:gridCol w:w="1136"/>
            <w:gridCol w:w="4962"/>
            <w:gridCol w:w="2551"/>
            <w:gridCol w:w="2552"/>
            <w:gridCol w:w="3390"/>
          </w:tblGrid>
        </w:tblGridChange>
      </w:tblGrid>
      <w:tr>
        <w:trPr>
          <w:trHeight w:val="120" w:hRule="atLeast"/>
        </w:trPr>
        <w:tc>
          <w:tcPr/>
          <w:p w:rsidR="00000000" w:rsidDel="00000000" w:rsidP="00000000" w:rsidRDefault="00000000" w:rsidRPr="00000000" w14:paraId="0000003D">
            <w:pPr>
              <w:bidi w:val="1"/>
              <w:contextualSpacing w:val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E">
            <w:pPr>
              <w:bidi w:val="1"/>
              <w:contextualSpacing w:val="0"/>
              <w:jc w:val="center"/>
              <w:rPr>
                <w:rFonts w:ascii="Sakkal Majalla" w:cs="Sakkal Majalla" w:eastAsia="Sakkal Majalla" w:hAnsi="Sakkal Majalla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40"/>
                <w:szCs w:val="40"/>
                <w:rtl w:val="1"/>
              </w:rPr>
              <w:t xml:space="preserve">المبادرات</w:t>
            </w:r>
          </w:p>
        </w:tc>
      </w:tr>
      <w:tr>
        <w:trPr>
          <w:trHeight w:val="120" w:hRule="atLeast"/>
        </w:trPr>
        <w:tc>
          <w:tcPr>
            <w:vMerge w:val="restart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عنوانها</w:t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الجهة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المالكة</w:t>
            </w:r>
          </w:p>
        </w:tc>
        <w:tc>
          <w:tcPr/>
          <w:p w:rsidR="00000000" w:rsidDel="00000000" w:rsidP="00000000" w:rsidRDefault="00000000" w:rsidRPr="00000000" w14:paraId="00000045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الجهة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المنفذة</w:t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بداية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ومدة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العقد</w:t>
            </w:r>
          </w:p>
        </w:tc>
      </w:tr>
      <w:tr>
        <w:trPr>
          <w:trHeight w:val="400" w:hRule="atLeast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مبادرة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سياسة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وضمان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صول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ذوي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الإعاقة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9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وكالة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الوزارة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4A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شركة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تطوير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contextualSpacing w:val="0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سنتان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بدءا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</w:p>
          <w:p w:rsidR="00000000" w:rsidDel="00000000" w:rsidP="00000000" w:rsidRDefault="00000000" w:rsidRPr="00000000" w14:paraId="0000004D">
            <w:pPr>
              <w:bidi w:val="1"/>
              <w:contextualSpacing w:val="0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1/8/2021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</w:t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مبادرة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رحلة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الشامل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العام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ذوي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الإعاقة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شركة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تقنيات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 (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تتكو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contextualSpacing w:val="0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ثلاث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سنواتبدءا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</w:p>
          <w:p w:rsidR="00000000" w:rsidDel="00000000" w:rsidP="00000000" w:rsidRDefault="00000000" w:rsidRPr="00000000" w14:paraId="00000053">
            <w:pPr>
              <w:bidi w:val="1"/>
              <w:contextualSpacing w:val="0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20/4/2022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</w:t>
            </w:r>
          </w:p>
        </w:tc>
      </w:tr>
    </w:tbl>
    <w:p w:rsidR="00000000" w:rsidDel="00000000" w:rsidP="00000000" w:rsidRDefault="00000000" w:rsidRPr="00000000" w14:paraId="00000054">
      <w:pPr>
        <w:bidi w:val="1"/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591.000000000002" w:type="dxa"/>
        <w:jc w:val="left"/>
        <w:tblInd w:w="0.0" w:type="dxa"/>
        <w:tblBorders>
          <w:top w:color="ffd965" w:space="0" w:sz="4" w:val="single"/>
          <w:left w:color="ffd965" w:space="0" w:sz="4" w:val="single"/>
          <w:bottom w:color="ffd965" w:space="0" w:sz="4" w:val="single"/>
          <w:right w:color="ffd965" w:space="0" w:sz="4" w:val="single"/>
          <w:insideH w:color="ffd965" w:space="0" w:sz="4" w:val="single"/>
          <w:insideV w:color="ffd965" w:space="0" w:sz="4" w:val="single"/>
        </w:tblBorders>
        <w:tblLayout w:type="fixed"/>
        <w:tblLook w:val="04A0"/>
      </w:tblPr>
      <w:tblGrid>
        <w:gridCol w:w="1136"/>
        <w:gridCol w:w="4962"/>
        <w:gridCol w:w="2551"/>
        <w:gridCol w:w="3110"/>
        <w:gridCol w:w="2832"/>
        <w:tblGridChange w:id="0">
          <w:tblGrid>
            <w:gridCol w:w="1136"/>
            <w:gridCol w:w="4962"/>
            <w:gridCol w:w="2551"/>
            <w:gridCol w:w="3110"/>
            <w:gridCol w:w="2832"/>
          </w:tblGrid>
        </w:tblGridChange>
      </w:tblGrid>
      <w:tr>
        <w:trPr>
          <w:trHeight w:val="120" w:hRule="atLeast"/>
        </w:trPr>
        <w:tc>
          <w:tcPr/>
          <w:p w:rsidR="00000000" w:rsidDel="00000000" w:rsidP="00000000" w:rsidRDefault="00000000" w:rsidRPr="00000000" w14:paraId="00000055">
            <w:pPr>
              <w:bidi w:val="1"/>
              <w:contextualSpacing w:val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6">
            <w:pPr>
              <w:bidi w:val="1"/>
              <w:contextualSpacing w:val="0"/>
              <w:jc w:val="center"/>
              <w:rPr>
                <w:rFonts w:ascii="Sakkal Majalla" w:cs="Sakkal Majalla" w:eastAsia="Sakkal Majalla" w:hAnsi="Sakkal Majalla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6"/>
                <w:szCs w:val="36"/>
                <w:rtl w:val="1"/>
              </w:rPr>
              <w:t xml:space="preserve">المشروعات</w:t>
            </w:r>
          </w:p>
        </w:tc>
      </w:tr>
      <w:tr>
        <w:trPr>
          <w:trHeight w:val="120" w:hRule="atLeast"/>
        </w:trPr>
        <w:tc>
          <w:tcPr>
            <w:vMerge w:val="restart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المشروع</w:t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الجهة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المالكة</w:t>
            </w:r>
          </w:p>
        </w:tc>
        <w:tc>
          <w:tcPr/>
          <w:p w:rsidR="00000000" w:rsidDel="00000000" w:rsidP="00000000" w:rsidRDefault="00000000" w:rsidRPr="00000000" w14:paraId="0000005D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الجهة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المنفذة</w:t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بداية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ومدة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العقد</w:t>
            </w:r>
          </w:p>
        </w:tc>
      </w:tr>
      <w:tr>
        <w:trPr>
          <w:trHeight w:val="1100" w:hRule="atLeast"/>
        </w:trP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تشغيل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مركز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الأمير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سلطان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عبدالعزيز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المساندة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السادسة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1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وكالة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الوزارة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62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3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شركة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تطوير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القابضة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     </w:t>
            </w:r>
          </w:p>
          <w:p w:rsidR="00000000" w:rsidDel="00000000" w:rsidP="00000000" w:rsidRDefault="00000000" w:rsidRPr="00000000" w14:paraId="00000064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contextualSpacing w:val="0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ثلاث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سنوات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بدءا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ً</w:t>
            </w:r>
          </w:p>
          <w:p w:rsidR="00000000" w:rsidDel="00000000" w:rsidP="00000000" w:rsidRDefault="00000000" w:rsidRPr="00000000" w14:paraId="00000066">
            <w:pPr>
              <w:bidi w:val="1"/>
              <w:contextualSpacing w:val="0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 15/11/2021</w:t>
            </w:r>
          </w:p>
        </w:tc>
      </w:tr>
      <w:tr>
        <w:trPr>
          <w:trHeight w:val="120" w:hRule="atLeast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تشغيل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مركز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همة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المساندة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للتربية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القصيم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contextualSpacing w:val="0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ثلاث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سنوات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بدءا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ً</w:t>
            </w:r>
          </w:p>
          <w:p w:rsidR="00000000" w:rsidDel="00000000" w:rsidP="00000000" w:rsidRDefault="00000000" w:rsidRPr="00000000" w14:paraId="0000006C">
            <w:pPr>
              <w:bidi w:val="1"/>
              <w:contextualSpacing w:val="0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 18/10/2021</w:t>
            </w:r>
          </w:p>
        </w:tc>
      </w:tr>
      <w:tr>
        <w:trPr>
          <w:trHeight w:val="120" w:hRule="atLeast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contextualSpacing w:val="1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contextualSpacing w:val="0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تشغيل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مركز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همة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للخدمات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المساندة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للتربية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الخبر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contextualSpacing w:val="0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ثلاث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سنوات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بدءا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ً</w:t>
            </w:r>
          </w:p>
          <w:p w:rsidR="00000000" w:rsidDel="00000000" w:rsidP="00000000" w:rsidRDefault="00000000" w:rsidRPr="00000000" w14:paraId="00000072">
            <w:pPr>
              <w:bidi w:val="1"/>
              <w:contextualSpacing w:val="0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 26/10/2021</w:t>
            </w:r>
          </w:p>
        </w:tc>
      </w:tr>
    </w:tbl>
    <w:p w:rsidR="00000000" w:rsidDel="00000000" w:rsidP="00000000" w:rsidRDefault="00000000" w:rsidRPr="00000000" w14:paraId="00000073">
      <w:pPr>
        <w:bidi w:val="1"/>
        <w:spacing w:after="120"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/>
      <w:pgMar w:bottom="1800" w:top="1800" w:left="1440" w:right="144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الصفحة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من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334CE6"/>
    <w:pPr>
      <w:ind w:left="720"/>
      <w:contextualSpacing w:val="1"/>
    </w:pPr>
  </w:style>
  <w:style w:type="table" w:styleId="4-6">
    <w:name w:val="Grid Table 4 Accent 6"/>
    <w:basedOn w:val="a1"/>
    <w:uiPriority w:val="49"/>
    <w:rsid w:val="000733CA"/>
    <w:pPr>
      <w:spacing w:after="0" w:line="240" w:lineRule="auto"/>
    </w:pPr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4-5">
    <w:name w:val="Grid Table 4 Accent 5"/>
    <w:basedOn w:val="a1"/>
    <w:uiPriority w:val="49"/>
    <w:rsid w:val="00EF2992"/>
    <w:pPr>
      <w:spacing w:after="0" w:line="240" w:lineRule="auto"/>
    </w:pPr>
    <w:tblPr>
      <w:tblStyleRowBandSize w:val="1"/>
      <w:tblStyleColBandSize w:val="1"/>
      <w:tblBorders>
        <w:top w:color="9cc2e5" w:space="0" w:sz="4" w:themeColor="accent5" w:themeTint="000099" w:val="single"/>
        <w:left w:color="9cc2e5" w:space="0" w:sz="4" w:themeColor="accent5" w:themeTint="000099" w:val="single"/>
        <w:bottom w:color="9cc2e5" w:space="0" w:sz="4" w:themeColor="accent5" w:themeTint="000099" w:val="single"/>
        <w:right w:color="9cc2e5" w:space="0" w:sz="4" w:themeColor="accent5" w:themeTint="000099" w:val="single"/>
        <w:insideH w:color="9cc2e5" w:space="0" w:sz="4" w:themeColor="accent5" w:themeTint="000099" w:val="single"/>
        <w:insideV w:color="9cc2e5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b9bd5" w:space="0" w:sz="4" w:themeColor="accent5" w:val="single"/>
          <w:left w:color="5b9bd5" w:space="0" w:sz="4" w:themeColor="accent5" w:val="single"/>
          <w:bottom w:color="5b9bd5" w:space="0" w:sz="4" w:themeColor="accent5" w:val="single"/>
          <w:right w:color="5b9bd5" w:space="0" w:sz="4" w:themeColor="accent5" w:val="single"/>
          <w:insideH w:space="0" w:sz="0" w:val="nil"/>
          <w:insideV w:space="0" w:sz="0" w:val="nil"/>
        </w:tcBorders>
        <w:shd w:color="auto" w:fill="5b9bd5" w:themeFill="accent5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</w:style>
  <w:style w:type="table" w:styleId="4-4">
    <w:name w:val="Grid Table 4 Accent 4"/>
    <w:basedOn w:val="a1"/>
    <w:uiPriority w:val="49"/>
    <w:rsid w:val="00EF2992"/>
    <w:pPr>
      <w:spacing w:after="0" w:line="240" w:lineRule="auto"/>
    </w:pPr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fc000" w:space="0" w:sz="4" w:themeColor="accent4" w:val="single"/>
          <w:left w:color="ffc000" w:space="0" w:sz="4" w:themeColor="accent4" w:val="single"/>
          <w:bottom w:color="ffc000" w:space="0" w:sz="4" w:themeColor="accent4" w:val="single"/>
          <w:right w:color="ffc000" w:space="0" w:sz="4" w:themeColor="accent4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</w:rPr>
      <w:tblPr/>
      <w:tcPr>
        <w:tcBorders>
          <w:top w:color="ffc00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paragraph" w:styleId="a4">
    <w:name w:val="header"/>
    <w:basedOn w:val="a"/>
    <w:link w:val="Char"/>
    <w:uiPriority w:val="99"/>
    <w:unhideWhenUsed w:val="1"/>
    <w:rsid w:val="00EF2992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4"/>
    <w:uiPriority w:val="99"/>
    <w:rsid w:val="00EF2992"/>
  </w:style>
  <w:style w:type="paragraph" w:styleId="a5">
    <w:name w:val="footer"/>
    <w:basedOn w:val="a"/>
    <w:link w:val="Char0"/>
    <w:uiPriority w:val="99"/>
    <w:unhideWhenUsed w:val="1"/>
    <w:rsid w:val="00EF2992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5"/>
    <w:uiPriority w:val="99"/>
    <w:rsid w:val="00EF299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2efd9" w:val="clear"/>
      </w:tcPr>
    </w:tblStylePr>
    <w:tblStylePr w:type="band1Vert">
      <w:tcPr>
        <w:shd w:fill="e2efd9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color="000000" w:space="0" w:sz="0" w:val="nil"/>
          <w:insideV w:color="000000" w:space="0" w:sz="0" w:val="nil"/>
        </w:tcBorders>
        <w:shd w:fill="70ad47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0ad47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ff2cc" w:val="clear"/>
      </w:tcPr>
    </w:tblStylePr>
    <w:tblStylePr w:type="band1Vert">
      <w:tcPr>
        <w:shd w:fill="fff2cc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ffc000" w:space="0" w:sz="4" w:val="single"/>
          <w:left w:color="ffc000" w:space="0" w:sz="4" w:val="single"/>
          <w:bottom w:color="ffc000" w:space="0" w:sz="4" w:val="single"/>
          <w:right w:color="ffc000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ffc000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